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81</w:t>
      </w:r>
    </w:p>
    <w:p>
      <w:r>
        <w:t>Bundesgericht (BGE), 1981-11-06, FR</w:t>
      </w:r>
    </w:p>
    <w:p>
      <w:r>
        <w:rPr>
          <w:b/>
        </w:rPr>
        <w:t xml:space="preserve">Quelle: </w:t>
      </w:r>
      <w:r>
        <w:t>https://mcp.opencaselaw.ch/entscheid/bge_109 II 81</w:t>
      </w:r>
    </w:p>
    <w:p>
      <w:r>
        <w:t>FR: ATF 109 II 81</w:t>
      </w:r>
    </w:p>
    <w:p>
      <w:r>
        <w:t>IT: DTF 109 II 81</w:t>
      </w:r>
    </w:p>
    <w:p>
      <w:pPr>
        <w:pStyle w:val="Heading2"/>
      </w:pPr>
      <w:r>
        <w:t>Regeste</w:t>
      </w:r>
    </w:p>
    <w:p>
      <w:r>
        <w:t>Regeste Art. 30 Abs. 1 ZGB. Namensänderung bei einer in der Schweiz wohnhaften geschiedenen Frau ausländischer Staatsangehörigkeit. Die Regierung des Wohnsitzkantons ist befugt, bei einem Ausländer eine Namensänderung in Anwendung des schweizerischen Rechts zu bewilligen, ohne dass sie sich darum zu kümmern hätte, ob ihr Entscheid im Heimatstaat des Gesuchstellers anerkannt werde.</w:t>
      </w:r>
    </w:p>
    <w:p>
      <w:pPr>
        <w:pStyle w:val="Heading2"/>
      </w:pPr>
      <w:r>
        <w:t>Erwägungen</w:t>
      </w:r>
    </w:p>
    <w:p>
      <w:r>
        <w:rPr>
          <w:b/>
        </w:rPr>
        <w:t>E. 1</w:t>
      </w:r>
    </w:p>
    <w:p>
      <w:r>
        <w:t>a) Aux termes de l' art. 30 al. 1 CC , le gouvernement du canton de domicile peut, s'il existe de justes motifs, autoriser une personne à changer de nom. Le Conseil d'Etat du canton de Neuchâtel admet que le fait d'être connue depuis un temps relativement long sous le nom de l'ex-conjoint et le fait de vivre en commun avec ses enfants mineurs portant le nom du père peuvent constituer pour la mère, à qui l'autorité parentale sur lesdits enfants et leur garde ont été attribuées, de justes motifs de changer de nom ( ATF 100 II 295 /296). Il se reconnaît compétent pour statuer sur la requête en changement de nom présentée par dame Monique Bernaudat; il relève que, depuis l'abrogation de l' art. 8 LRDC par la loi fédérale du 25 juin 1976, modifiant le droit de la filiation du Code civil suisse, la question peut se poser de savoir devant quelle autorité et selon quel droit les actions d'état civil des étrangers doivent être traitées. Il retient qu'en ce qui concerne la détermination du nom, le Tribunal fédéral est d'accord avec la tendance actuelle à appliquer la loi du domicile ( ATF 106 II 241 ); BGE 109 II 81 S. 83 il souligne que l'Office fédéral de la Justice se rallie à cette opinion (JAAC 1982, fasc. 46/I no 3, p. 28/29; cf. JAAC 1981, fasc. 45/IV no 70, p. 404 ss; no 74, p. 420 ss; no 78, p. 434). Il juge toutefois ne pas pouvoir donner suite à la requête de dame Bernaudat parce qu'il n'a pas reçu l'assurance que son autorisation éventuelle en changement de nom serait suivie d'effets quant à l'état civil de la requérante. En effet, dit-il, à défaut d'une telle assurance, sa décision pourrait rester lettre morte et créer des difficultés si la France ne reconnaît pas sa décision autorisant le changement de nom de la requérante. Il concède avoir admis, non seulement sa compétence pour statuer sur une demande en changement de nom présentée par une femme d'origine belge, domiciliée en Suisse, dont le divorce avait été prononcé par un tribunal neuchâtelois, mais également l'application du droit suisse à cette demande, sans se préoccuper de la question de la reconnaissance de sa décision par la Belgique (cf., au sujet de cette décision, LALIVE, Annuaire suisse de droit international XXXIV (1978) p. 337/338). Il dit cependant que cette décision est "restée isolée parmi la pratique des autres Etats confédérés, et qu'elle ne sera pas renouvelée en l'état actuel de la législation et de la jurisprudence". b) La recourante soutient que le gouvernement neuchâtelois n'avait pas à faire dépendre sa décision au fond d'autoriser le changement de nom sollicité de la condition que cette décision fût susceptible d'être reconnue par les autorités françaises. A la suite de l'abrogation de l' art. 8 LRDC , il existe, dit-elle, une lacune en matière de nom, laquelle doit être comblée par voie de jurisprudence en ce sens que le gouvernement du canton où un étranger a son domicile est compétent pour autoriser un changement de nom en application du droit suisse, sans égard au fait que sa décision sera ou non reconnue par les autorités du pays d'origine du requérant.</w:t>
      </w:r>
    </w:p>
    <w:p>
      <w:r>
        <w:rPr>
          <w:b/>
        </w:rPr>
        <w:t>E. 2</w:t>
      </w:r>
    </w:p>
    <w:p>
      <w:r>
        <w:t>. Changement de nom Les autorités suisses du domicile du requérant sont compétentes pour connaître d'une demande en changement de nom. Un Suisse sans domicile en Suisse peut demander un changement de nom à l'autorité de son canton d'origine. Les conditions et les effets d'un changement de nom sont régis par le droit suisse. Art. 37</w:t>
      </w:r>
    </w:p>
    <w:p>
      <w:r>
        <w:rPr>
          <w:b/>
        </w:rPr>
        <w:t>E. 3</w:t>
      </w:r>
    </w:p>
    <w:p>
      <w:r>
        <w:t>. Changement de nom intervenu à l'étranger Un changement de nom intervenu à l'étranger est reconnu en Suisse s'il est valable dans l'Etat du domicile ou dans l'Etat national du requérant." Le projet de la commission d'experts, comme celui du Conseil fédéral, rencontre l'approbation des auteurs (BUCHER, Conséquences de la suppression de l' art. 8 LRDC , Revue de l'état civil 1977, p. 333/334; KNOEPFLER, Le nom et quelques autres questions de l'état civil en droit international privé suisse aujourd'hui et demain, Revue de l'état civil 1978, p. 321-323; VISCHER/VON PLANTA, BGE 109 II 81 S. 86 Internationales Privatrecht, 2e éd., p. 50-52). Ces projets sont d'ailleurs en harmonie avec la modification apportée à l' art. 30 al. 1 CC par la loi fédérale du 25 juin 1976, quand la compétence pour autoriser le changement de nom a été transférée du gouvernement du canton d'origine du requérant au gouvernement du canton de domicile. Si l'on estime, conformément à la tendance de la doctrine moderne du droit international privé en Suisse, que le gouvernement du canton de domicile d'un étranger doit avoir la compétence d'autoriser en application du droit suisse un changement de nom, il n'y a pas de raison de faire dépendre son pouvoir de prendre une telle décision de la reconnaissance de celle-ci par les autorités du pays d'origine du requérant. Certes, il pourra se produire qu'il y ait divergence entre le nom de cette personne d'après sa loi nationale et celui qu'elle a été autorisée à porter par la décision de changement de nom prise par le gouvernement du canton où elle est domiciliée. Mais cela n'est pas décisif. Ce qui importe, c'est qu'elle porte en Suisse, pays où elle vit et où elle a le centre de ses intérêts, le nom par lequel elle tient à être désignée, c'est-à-dire personnalisée. Il est loisible d'ailleurs à l'étranger qui a obtenu un changement de nom en Suisse d'introduire dans son pays d'origine une requête pour obtenir un changement de nom correspondant, dans la mesure où la loi nationale le prévoit (sur le changement de nom en droit français, cf. notamment Répertoire du droit civil, 2e éd., t. V, mise à jour 1982, vo nom-prénom, nos 171 ss). Dans le domaine du divorce, le projet de loi de droit international privé, tant de la commission d'experts que du Conseil fédéral, renonce à la double condition de l' art. 7h LRDC , qui prévoit qu'un étranger peut intenter son action en divorce devant le juge de son domicile s'il établit que les lois ou la jurisprudence de son pays d'origine admettent la cause de divorce invoquée et reconnaissent la juridiction suisse (Projet de la commission d'experts cit., pp. 201 et 288 ss; Message, FF 1983 I 348 et 469 ss). c) De ces considérants il suit que le Conseil d'Etat du canton de Neuchâtel doit se prononcer sur la requête en changement de nom de dame Bernaudat, en appliquant le droit suisse et sans se préoccuper de la question de savoir si sa décision sera reconnue ou non par les autorités françaises. Comme il n'a pas statué sur le fond de l'affaire, il y a lieu de la lui renvoyer pour qu'il décide si dame Bernaudat a de justes motifs de changer de nom et de porter à nouveau celui de Appy, en conformité de l'accord que lui a donné BGE 109 II 81 S. 87 son ex-mari, et, dans l'affirmative, prononce le changement de nom. Il n'importe pas à cet égard que ce changement de nom ne puisse pas être porté dans un registre de l'état civil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